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559D" w14:textId="744320E7" w:rsidR="00DD6CCC" w:rsidRDefault="00DD6CCC" w:rsidP="00DD6CCC">
      <w:pPr>
        <w:spacing w:line="276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D5611">
        <w:rPr>
          <w:rFonts w:ascii="Times New Roman" w:hAnsi="Times New Roman" w:cs="Times New Roman"/>
          <w:sz w:val="24"/>
          <w:szCs w:val="24"/>
        </w:rPr>
        <w:t>LIC. LILIAN PÉREZ CASTILLO, SECRETARIA JUDICIAL DEL TRIBUNAL SUPREMO POPULAR. 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14:paraId="5B8970B4" w14:textId="77777777" w:rsidR="00DD6CCC" w:rsidRPr="00FD5611" w:rsidRDefault="00DD6CCC" w:rsidP="00DD6CCC">
      <w:pPr>
        <w:spacing w:line="276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14:paraId="42B58F38" w14:textId="0581EECF" w:rsidR="00DD6CCC" w:rsidRDefault="00DD6CCC" w:rsidP="00DD6CCC">
      <w:pPr>
        <w:spacing w:line="276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D5611">
        <w:rPr>
          <w:rFonts w:ascii="Times New Roman" w:hAnsi="Times New Roman" w:cs="Times New Roman"/>
          <w:sz w:val="24"/>
          <w:szCs w:val="24"/>
        </w:rPr>
        <w:t xml:space="preserve">CERTIFICO: que el Consejo de Gobierno de este tribunal, en sesión ordinaria celebrada el día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D5611">
        <w:rPr>
          <w:rFonts w:ascii="Times New Roman" w:hAnsi="Times New Roman" w:cs="Times New Roman"/>
          <w:sz w:val="24"/>
          <w:szCs w:val="24"/>
        </w:rPr>
        <w:t xml:space="preserve"> de abril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C1B9F">
        <w:rPr>
          <w:rFonts w:ascii="Times New Roman" w:hAnsi="Times New Roman" w:cs="Times New Roman"/>
          <w:sz w:val="24"/>
          <w:szCs w:val="24"/>
        </w:rPr>
        <w:t>, adoptó el A</w:t>
      </w:r>
      <w:r w:rsidRPr="00FD5611">
        <w:rPr>
          <w:rFonts w:ascii="Times New Roman" w:hAnsi="Times New Roman" w:cs="Times New Roman"/>
          <w:sz w:val="24"/>
          <w:szCs w:val="24"/>
        </w:rPr>
        <w:t>cuerdo</w:t>
      </w:r>
      <w:r w:rsidR="00AC1B9F">
        <w:rPr>
          <w:rFonts w:ascii="Times New Roman" w:hAnsi="Times New Roman" w:cs="Times New Roman"/>
          <w:sz w:val="24"/>
          <w:szCs w:val="24"/>
        </w:rPr>
        <w:t xml:space="preserve"> No. 227</w:t>
      </w:r>
      <w:r w:rsidRPr="00FD5611">
        <w:rPr>
          <w:rFonts w:ascii="Times New Roman" w:hAnsi="Times New Roman" w:cs="Times New Roman"/>
          <w:sz w:val="24"/>
          <w:szCs w:val="24"/>
        </w:rPr>
        <w:t xml:space="preserve"> que</w:t>
      </w:r>
      <w:r w:rsidR="00AC1B9F">
        <w:rPr>
          <w:rFonts w:ascii="Times New Roman" w:hAnsi="Times New Roman" w:cs="Times New Roman"/>
          <w:sz w:val="24"/>
          <w:szCs w:val="24"/>
        </w:rPr>
        <w:t>,</w:t>
      </w:r>
      <w:r w:rsidRPr="00FD5611">
        <w:rPr>
          <w:rFonts w:ascii="Times New Roman" w:hAnsi="Times New Roman" w:cs="Times New Roman"/>
          <w:sz w:val="24"/>
          <w:szCs w:val="24"/>
        </w:rPr>
        <w:t xml:space="preserve"> copiado literalmente</w:t>
      </w:r>
      <w:r w:rsidR="00AC1B9F">
        <w:rPr>
          <w:rFonts w:ascii="Times New Roman" w:hAnsi="Times New Roman" w:cs="Times New Roman"/>
          <w:sz w:val="24"/>
          <w:szCs w:val="24"/>
        </w:rPr>
        <w:t>,</w:t>
      </w:r>
      <w:r w:rsidRPr="00FD5611">
        <w:rPr>
          <w:rFonts w:ascii="Times New Roman" w:hAnsi="Times New Roman" w:cs="Times New Roman"/>
          <w:sz w:val="24"/>
          <w:szCs w:val="24"/>
        </w:rPr>
        <w:t xml:space="preserve"> dice así: -----------</w:t>
      </w:r>
      <w:r>
        <w:rPr>
          <w:rFonts w:ascii="Times New Roman" w:hAnsi="Times New Roman" w:cs="Times New Roman"/>
          <w:sz w:val="24"/>
          <w:szCs w:val="24"/>
        </w:rPr>
        <w:t>-----------</w:t>
      </w:r>
      <w:bookmarkStart w:id="0" w:name="_GoBack"/>
      <w:bookmarkEnd w:id="0"/>
    </w:p>
    <w:p w14:paraId="1461CBD6" w14:textId="14C3F432" w:rsidR="00267E10" w:rsidRPr="00CA36E7" w:rsidRDefault="00267E10" w:rsidP="00DD6CCC">
      <w:pPr>
        <w:spacing w:line="276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14:paraId="06D5875E" w14:textId="3C7BDB09" w:rsidR="00267E10" w:rsidRPr="00CA36E7" w:rsidRDefault="0076107F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CONVOCATORIA</w:t>
      </w:r>
    </w:p>
    <w:p w14:paraId="48B6E495" w14:textId="768EBCEF" w:rsidR="00267E10" w:rsidRPr="00CA36E7" w:rsidRDefault="00267E10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PROGRAMA SECTORIAL DE CIENCIA, TECNOLOGÍA E INNOVACIÓN</w:t>
      </w:r>
    </w:p>
    <w:p w14:paraId="2B6C1441" w14:textId="5CF326C4" w:rsidR="00267E10" w:rsidRPr="00CA36E7" w:rsidRDefault="00267E10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284" w:righ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“Perfeccionamiento de la justicia judicial para contribuir al desarrollo de</w:t>
      </w:r>
      <w:r w:rsidR="008E7708" w:rsidRPr="00CA3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b/>
          <w:sz w:val="24"/>
          <w:szCs w:val="24"/>
        </w:rPr>
        <w:t>la sociedad cubana del siglo XXI”</w:t>
      </w:r>
    </w:p>
    <w:p w14:paraId="6C51B935" w14:textId="77777777" w:rsidR="008E7708" w:rsidRPr="00CA36E7" w:rsidRDefault="008E7708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B1DEB" w14:textId="77231679" w:rsidR="00267E10" w:rsidRPr="00CA36E7" w:rsidRDefault="00267E10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Tribunal Supremo Popular</w:t>
      </w:r>
    </w:p>
    <w:p w14:paraId="74F776FE" w14:textId="18222808" w:rsidR="00267E10" w:rsidRPr="00CA36E7" w:rsidRDefault="00267E10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center"/>
        <w:rPr>
          <w:rFonts w:ascii="Times New Roman" w:hAnsi="Times New Roman" w:cs="Times New Roman"/>
          <w:b/>
          <w:w w:val="68"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2024-2030</w:t>
      </w:r>
    </w:p>
    <w:p w14:paraId="549CD812" w14:textId="77777777" w:rsidR="00267E10" w:rsidRPr="00CA36E7" w:rsidRDefault="00267E10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w w:val="68"/>
          <w:sz w:val="24"/>
          <w:szCs w:val="24"/>
        </w:rPr>
      </w:pPr>
    </w:p>
    <w:p w14:paraId="201A16AA" w14:textId="687FE0CD" w:rsidR="00984628" w:rsidRPr="00CA36E7" w:rsidRDefault="00267E10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</w:rPr>
        <w:t>El Tribunal Supremo Popular</w:t>
      </w:r>
      <w:r w:rsidR="00984628" w:rsidRPr="00CA36E7">
        <w:rPr>
          <w:rFonts w:ascii="Times New Roman" w:hAnsi="Times New Roman" w:cs="Times New Roman"/>
          <w:sz w:val="24"/>
          <w:szCs w:val="24"/>
        </w:rPr>
        <w:t xml:space="preserve">, </w:t>
      </w:r>
      <w:r w:rsidRPr="00CA36E7">
        <w:rPr>
          <w:rFonts w:ascii="Times New Roman" w:hAnsi="Times New Roman" w:cs="Times New Roman"/>
          <w:sz w:val="24"/>
          <w:szCs w:val="24"/>
        </w:rPr>
        <w:t>convoca</w:t>
      </w:r>
      <w:r w:rsidRPr="00CA36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a</w:t>
      </w:r>
      <w:r w:rsidRPr="00CA36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toda</w:t>
      </w:r>
      <w:r w:rsidRPr="00CA36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pacing w:val="4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101"/>
          <w:sz w:val="24"/>
          <w:szCs w:val="24"/>
        </w:rPr>
        <w:t>m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un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í</w:t>
      </w:r>
      <w:r w:rsidRPr="00CA36E7">
        <w:rPr>
          <w:rFonts w:ascii="Times New Roman" w:hAnsi="Times New Roman" w:cs="Times New Roman"/>
          <w:w w:val="89"/>
          <w:sz w:val="24"/>
          <w:szCs w:val="24"/>
        </w:rPr>
        <w:t>f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y jurídica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í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w w:val="97"/>
          <w:sz w:val="24"/>
          <w:szCs w:val="24"/>
        </w:rPr>
        <w:t>,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de</w:t>
      </w:r>
      <w:r w:rsidRPr="00CA36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pacing w:val="5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89"/>
          <w:sz w:val="24"/>
          <w:szCs w:val="24"/>
        </w:rPr>
        <w:t>f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spacing w:val="-3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36E7">
        <w:rPr>
          <w:rFonts w:ascii="Times New Roman" w:hAnsi="Times New Roman" w:cs="Times New Roman"/>
          <w:w w:val="80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pacing w:val="3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 xml:space="preserve">e </w:t>
      </w:r>
      <w:r w:rsidR="00CA36E7">
        <w:rPr>
          <w:rFonts w:ascii="Times New Roman" w:hAnsi="Times New Roman" w:cs="Times New Roman"/>
          <w:w w:val="94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94"/>
          <w:sz w:val="24"/>
          <w:szCs w:val="24"/>
        </w:rPr>
        <w:t>ienc</w:t>
      </w:r>
      <w:r w:rsidRPr="00CA36E7">
        <w:rPr>
          <w:rFonts w:ascii="Times New Roman" w:hAnsi="Times New Roman" w:cs="Times New Roman"/>
          <w:spacing w:val="2"/>
          <w:w w:val="94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94"/>
          <w:sz w:val="24"/>
          <w:szCs w:val="24"/>
        </w:rPr>
        <w:t>a,</w:t>
      </w:r>
      <w:r w:rsidRPr="00CA36E7">
        <w:rPr>
          <w:rFonts w:ascii="Times New Roman" w:hAnsi="Times New Roman" w:cs="Times New Roman"/>
          <w:spacing w:val="-7"/>
          <w:w w:val="94"/>
          <w:sz w:val="24"/>
          <w:szCs w:val="24"/>
        </w:rPr>
        <w:t xml:space="preserve"> </w:t>
      </w:r>
      <w:r w:rsidR="00CA36E7">
        <w:rPr>
          <w:rFonts w:ascii="Times New Roman" w:hAnsi="Times New Roman" w:cs="Times New Roman"/>
          <w:w w:val="79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93"/>
          <w:sz w:val="24"/>
          <w:szCs w:val="24"/>
        </w:rPr>
        <w:t>g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í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 xml:space="preserve">e </w:t>
      </w:r>
      <w:r w:rsidR="00CA36E7">
        <w:rPr>
          <w:rFonts w:ascii="Times New Roman" w:hAnsi="Times New Roman" w:cs="Times New Roman"/>
          <w:w w:val="73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spacing w:val="3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87"/>
          <w:sz w:val="24"/>
          <w:szCs w:val="24"/>
        </w:rPr>
        <w:t>v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ó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97"/>
          <w:sz w:val="24"/>
          <w:szCs w:val="24"/>
        </w:rPr>
        <w:t>,</w:t>
      </w:r>
      <w:r w:rsidRPr="00CA36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un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87"/>
          <w:sz w:val="24"/>
          <w:szCs w:val="24"/>
        </w:rPr>
        <w:t>v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spacing w:val="-3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2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spacing w:val="-1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w w:val="97"/>
          <w:sz w:val="24"/>
          <w:szCs w:val="24"/>
        </w:rPr>
        <w:t>,</w:t>
      </w:r>
      <w:r w:rsidRPr="00CA36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A36E7">
        <w:rPr>
          <w:rFonts w:ascii="Times New Roman" w:hAnsi="Times New Roman" w:cs="Times New Roman"/>
          <w:sz w:val="24"/>
          <w:szCs w:val="24"/>
        </w:rPr>
        <w:t>mpr</w:t>
      </w:r>
      <w:r w:rsidRPr="00CA36E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CA36E7">
        <w:rPr>
          <w:rFonts w:ascii="Times New Roman" w:hAnsi="Times New Roman" w:cs="Times New Roman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CA36E7">
        <w:rPr>
          <w:rFonts w:ascii="Times New Roman" w:hAnsi="Times New Roman" w:cs="Times New Roman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 xml:space="preserve">e 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spacing w:val="3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u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99"/>
          <w:sz w:val="24"/>
          <w:szCs w:val="24"/>
        </w:rPr>
        <w:t>s</w:t>
      </w:r>
      <w:r w:rsidRPr="00CA36E7">
        <w:rPr>
          <w:rFonts w:ascii="Times New Roman" w:hAnsi="Times New Roman" w:cs="Times New Roman"/>
          <w:w w:val="97"/>
          <w:sz w:val="24"/>
          <w:szCs w:val="24"/>
        </w:rPr>
        <w:t>,</w:t>
      </w:r>
      <w:r w:rsidRPr="00CA36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a</w:t>
      </w:r>
      <w:r w:rsidRPr="00CA36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spacing w:val="-2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en</w:t>
      </w:r>
      <w:r w:rsidRPr="00CA36E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91"/>
          <w:sz w:val="24"/>
          <w:szCs w:val="24"/>
        </w:rPr>
        <w:t>P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spacing w:val="3"/>
          <w:w w:val="93"/>
          <w:sz w:val="24"/>
          <w:szCs w:val="24"/>
        </w:rPr>
        <w:t>g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101"/>
          <w:sz w:val="24"/>
          <w:szCs w:val="24"/>
        </w:rPr>
        <w:t>m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 xml:space="preserve">a </w:t>
      </w:r>
      <w:r w:rsidRPr="00CA36E7">
        <w:rPr>
          <w:rFonts w:ascii="Times New Roman" w:hAnsi="Times New Roman" w:cs="Times New Roman"/>
          <w:w w:val="81"/>
          <w:sz w:val="24"/>
          <w:szCs w:val="24"/>
        </w:rPr>
        <w:t>S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spacing w:val="-1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118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spacing w:val="7"/>
          <w:w w:val="7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de</w:t>
      </w:r>
      <w:r w:rsidRPr="00CA36E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94"/>
          <w:sz w:val="24"/>
          <w:szCs w:val="24"/>
        </w:rPr>
        <w:t>C</w:t>
      </w:r>
      <w:r w:rsidRPr="00CA36E7">
        <w:rPr>
          <w:rFonts w:ascii="Times New Roman" w:hAnsi="Times New Roman" w:cs="Times New Roman"/>
          <w:spacing w:val="2"/>
          <w:w w:val="94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94"/>
          <w:sz w:val="24"/>
          <w:szCs w:val="24"/>
        </w:rPr>
        <w:t>e</w:t>
      </w:r>
      <w:r w:rsidRPr="00CA36E7">
        <w:rPr>
          <w:rFonts w:ascii="Times New Roman" w:hAnsi="Times New Roman" w:cs="Times New Roman"/>
          <w:spacing w:val="-2"/>
          <w:w w:val="94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94"/>
          <w:sz w:val="24"/>
          <w:szCs w:val="24"/>
        </w:rPr>
        <w:t>c</w:t>
      </w:r>
      <w:r w:rsidRPr="00CA36E7">
        <w:rPr>
          <w:rFonts w:ascii="Times New Roman" w:hAnsi="Times New Roman" w:cs="Times New Roman"/>
          <w:spacing w:val="2"/>
          <w:w w:val="94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94"/>
          <w:sz w:val="24"/>
          <w:szCs w:val="24"/>
        </w:rPr>
        <w:t>a,</w:t>
      </w:r>
      <w:r w:rsidRPr="00CA36E7">
        <w:rPr>
          <w:rFonts w:ascii="Times New Roman" w:hAnsi="Times New Roman" w:cs="Times New Roman"/>
          <w:spacing w:val="11"/>
          <w:w w:val="94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T</w:t>
      </w:r>
      <w:r w:rsidRPr="00CA36E7">
        <w:rPr>
          <w:rFonts w:ascii="Times New Roman" w:hAnsi="Times New Roman" w:cs="Times New Roman"/>
          <w:w w:val="111"/>
          <w:sz w:val="24"/>
          <w:szCs w:val="24"/>
        </w:rPr>
        <w:t>e</w:t>
      </w:r>
      <w:r w:rsidRPr="00CA36E7">
        <w:rPr>
          <w:rFonts w:ascii="Times New Roman" w:hAnsi="Times New Roman" w:cs="Times New Roman"/>
          <w:spacing w:val="-1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spacing w:val="-2"/>
          <w:w w:val="79"/>
          <w:sz w:val="24"/>
          <w:szCs w:val="24"/>
        </w:rPr>
        <w:t>l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93"/>
          <w:sz w:val="24"/>
          <w:szCs w:val="24"/>
        </w:rPr>
        <w:t>g</w:t>
      </w:r>
      <w:r w:rsidRPr="00CA36E7">
        <w:rPr>
          <w:rFonts w:ascii="Times New Roman" w:hAnsi="Times New Roman" w:cs="Times New Roman"/>
          <w:w w:val="79"/>
          <w:sz w:val="24"/>
          <w:szCs w:val="24"/>
        </w:rPr>
        <w:t>í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spacing w:val="7"/>
          <w:w w:val="106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e</w:t>
      </w:r>
      <w:r w:rsidRPr="00CA36E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w w:val="73"/>
          <w:sz w:val="24"/>
          <w:szCs w:val="24"/>
        </w:rPr>
        <w:t>I</w:t>
      </w:r>
      <w:r w:rsidRPr="00CA36E7">
        <w:rPr>
          <w:rFonts w:ascii="Times New Roman" w:hAnsi="Times New Roman" w:cs="Times New Roman"/>
          <w:spacing w:val="-2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CA36E7">
        <w:rPr>
          <w:rFonts w:ascii="Times New Roman" w:hAnsi="Times New Roman" w:cs="Times New Roman"/>
          <w:w w:val="87"/>
          <w:sz w:val="24"/>
          <w:szCs w:val="24"/>
        </w:rPr>
        <w:t>v</w:t>
      </w:r>
      <w:r w:rsidRPr="00CA36E7">
        <w:rPr>
          <w:rFonts w:ascii="Times New Roman" w:hAnsi="Times New Roman" w:cs="Times New Roman"/>
          <w:w w:val="106"/>
          <w:sz w:val="24"/>
          <w:szCs w:val="24"/>
        </w:rPr>
        <w:t>a</w:t>
      </w:r>
      <w:r w:rsidRPr="00CA36E7">
        <w:rPr>
          <w:rFonts w:ascii="Times New Roman" w:hAnsi="Times New Roman" w:cs="Times New Roman"/>
          <w:w w:val="95"/>
          <w:sz w:val="24"/>
          <w:szCs w:val="24"/>
        </w:rPr>
        <w:t>c</w:t>
      </w:r>
      <w:r w:rsidRPr="00CA36E7">
        <w:rPr>
          <w:rFonts w:ascii="Times New Roman" w:hAnsi="Times New Roman" w:cs="Times New Roman"/>
          <w:spacing w:val="2"/>
          <w:w w:val="79"/>
          <w:sz w:val="24"/>
          <w:szCs w:val="24"/>
        </w:rPr>
        <w:t>i</w:t>
      </w:r>
      <w:r w:rsidRPr="00CA36E7">
        <w:rPr>
          <w:rFonts w:ascii="Times New Roman" w:hAnsi="Times New Roman" w:cs="Times New Roman"/>
          <w:w w:val="104"/>
          <w:sz w:val="24"/>
          <w:szCs w:val="24"/>
        </w:rPr>
        <w:t>ó</w:t>
      </w:r>
      <w:r w:rsidRPr="00CA36E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CA36E7">
        <w:rPr>
          <w:rFonts w:ascii="Times New Roman" w:hAnsi="Times New Roman" w:cs="Times New Roman"/>
          <w:spacing w:val="1"/>
          <w:w w:val="103"/>
          <w:sz w:val="24"/>
          <w:szCs w:val="24"/>
        </w:rPr>
        <w:t>:</w:t>
      </w:r>
      <w:r w:rsidRPr="00CA36E7">
        <w:rPr>
          <w:rFonts w:ascii="Times New Roman" w:hAnsi="Times New Roman" w:cs="Times New Roman"/>
          <w:b/>
          <w:sz w:val="24"/>
          <w:szCs w:val="24"/>
        </w:rPr>
        <w:t xml:space="preserve"> “Perfeccionamiento de la justicia judicial para contribuir al desarrollo de la sociedad cubana del siglo XXI” de 202</w:t>
      </w:r>
      <w:r w:rsidR="005A65EF" w:rsidRPr="00CA36E7">
        <w:rPr>
          <w:rFonts w:ascii="Times New Roman" w:hAnsi="Times New Roman" w:cs="Times New Roman"/>
          <w:b/>
          <w:sz w:val="24"/>
          <w:szCs w:val="24"/>
        </w:rPr>
        <w:t>5</w:t>
      </w:r>
      <w:r w:rsidRPr="00CA36E7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2F5B" w14:textId="77777777" w:rsidR="00A51CBC" w:rsidRPr="00CA36E7" w:rsidRDefault="00A51CBC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9875C" w14:textId="77777777" w:rsidR="00984628" w:rsidRPr="00CA36E7" w:rsidRDefault="00984628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FUNDAMENTOS DE LA CONVOCATORIA</w:t>
      </w:r>
    </w:p>
    <w:p w14:paraId="16CA8AF9" w14:textId="77777777" w:rsidR="00A51CBC" w:rsidRPr="00CA36E7" w:rsidRDefault="00A51CBC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22EEC" w14:textId="72572528" w:rsidR="00984628" w:rsidRDefault="00984628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</w:rPr>
        <w:t>El programa objeto de esta convoc</w:t>
      </w:r>
      <w:r w:rsidR="004703AC" w:rsidRPr="00CA36E7">
        <w:rPr>
          <w:rFonts w:ascii="Times New Roman" w:hAnsi="Times New Roman" w:cs="Times New Roman"/>
          <w:sz w:val="24"/>
          <w:szCs w:val="24"/>
        </w:rPr>
        <w:t>atoria, aprobada por Acuerdo No</w:t>
      </w:r>
      <w:r w:rsidR="00CA36E7">
        <w:rPr>
          <w:rFonts w:ascii="Times New Roman" w:hAnsi="Times New Roman" w:cs="Times New Roman"/>
          <w:sz w:val="24"/>
          <w:szCs w:val="24"/>
        </w:rPr>
        <w:t>____</w:t>
      </w:r>
      <w:r w:rsidR="004703AC" w:rsidRPr="00CA36E7">
        <w:rPr>
          <w:rFonts w:ascii="Times New Roman" w:hAnsi="Times New Roman" w:cs="Times New Roman"/>
          <w:sz w:val="24"/>
          <w:szCs w:val="24"/>
        </w:rPr>
        <w:t xml:space="preserve"> del Consejo de Gobierno del Tribunal Supremo Popular</w:t>
      </w:r>
      <w:r w:rsidRPr="00CA36E7">
        <w:rPr>
          <w:rFonts w:ascii="Times New Roman" w:hAnsi="Times New Roman" w:cs="Times New Roman"/>
          <w:sz w:val="24"/>
          <w:szCs w:val="24"/>
        </w:rPr>
        <w:t>, se fundamenta en:</w:t>
      </w:r>
    </w:p>
    <w:p w14:paraId="14396CF7" w14:textId="77777777" w:rsidR="00CA36E7" w:rsidRPr="00CA36E7" w:rsidRDefault="00CA36E7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54186B8E" w14:textId="37878545" w:rsidR="00984628" w:rsidRPr="00CA36E7" w:rsidRDefault="00984628" w:rsidP="00CA36E7">
      <w:pPr>
        <w:widowControl w:val="0"/>
        <w:autoSpaceDE w:val="0"/>
        <w:autoSpaceDN w:val="0"/>
        <w:adjustRightInd w:val="0"/>
        <w:spacing w:before="7"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</w:rPr>
        <w:t>La Constitución de la República de Cuba en su artículo 21 establece: “El Estado</w:t>
      </w:r>
      <w:r w:rsidR="00CA36E7">
        <w:rPr>
          <w:rFonts w:ascii="Times New Roman" w:hAnsi="Times New Roman" w:cs="Times New Roman"/>
          <w:sz w:val="24"/>
          <w:szCs w:val="24"/>
        </w:rPr>
        <w:t xml:space="preserve"> </w:t>
      </w:r>
      <w:r w:rsidRPr="00CA36E7">
        <w:rPr>
          <w:rFonts w:ascii="Times New Roman" w:hAnsi="Times New Roman" w:cs="Times New Roman"/>
          <w:sz w:val="24"/>
          <w:szCs w:val="24"/>
        </w:rPr>
        <w:t>promueve el avance de la ciencia, la tecnología y la innovación como elementos imprescindibles para el desarrollo económico y social”.</w:t>
      </w:r>
    </w:p>
    <w:p w14:paraId="47E30957" w14:textId="77777777" w:rsidR="00984628" w:rsidRPr="00CA36E7" w:rsidRDefault="00984628" w:rsidP="00CA36E7">
      <w:pPr>
        <w:widowControl w:val="0"/>
        <w:autoSpaceDE w:val="0"/>
        <w:autoSpaceDN w:val="0"/>
        <w:adjustRightInd w:val="0"/>
        <w:spacing w:before="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7BC12" w14:textId="77777777" w:rsidR="00CA36E7" w:rsidRDefault="00984628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</w:rPr>
        <w:t>Los Lineamientos de la Política Económica y Social del Partido y la Re</w:t>
      </w:r>
      <w:r w:rsidR="00CA36E7">
        <w:rPr>
          <w:rFonts w:ascii="Times New Roman" w:hAnsi="Times New Roman" w:cs="Times New Roman"/>
          <w:sz w:val="24"/>
          <w:szCs w:val="24"/>
        </w:rPr>
        <w:t>volución orientan en su L-98, “s</w:t>
      </w:r>
      <w:r w:rsidRPr="00CA36E7">
        <w:rPr>
          <w:rFonts w:ascii="Times New Roman" w:hAnsi="Times New Roman" w:cs="Times New Roman"/>
          <w:sz w:val="24"/>
          <w:szCs w:val="24"/>
        </w:rPr>
        <w:t>ituar en primer plano el papel de la ciencia, la tecnología y la innovación en todas las instancias, con una visión que asegure lograr a corto y mediano plazos los objetivos del Plan Nacional de Desarrollo Económico y Social”.</w:t>
      </w:r>
    </w:p>
    <w:p w14:paraId="3C99CED4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5B25B47C" w14:textId="77777777" w:rsidR="00CA36E7" w:rsidRDefault="00984628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</w:rPr>
        <w:t>El Plan Nacional de Desarrollo Económico y Social hasta el 2030 en su Eje Estratégico Potencial Humano, Ciencia, Tecnología e Innovación establece, “Elevar el impacto de la ciencia, la tecnología y la innovación en el desarrollo económico y social, incluyendo el perfeccionamiento del marco institucional” y “Fortalecer la integración y la racionalidad del Sistema de Ciencia, Tecnología e Innovación, así como el desarrollo de los recursos humanos y la infraestructura material”.</w:t>
      </w:r>
    </w:p>
    <w:p w14:paraId="530FF8C4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7C972AC4" w14:textId="77777777" w:rsidR="00CA36E7" w:rsidRDefault="006455EF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</w:rPr>
        <w:lastRenderedPageBreak/>
        <w:t>Esta convocatoria, está</w:t>
      </w:r>
      <w:r w:rsidR="003A2755" w:rsidRPr="00CA36E7">
        <w:rPr>
          <w:rFonts w:ascii="Times New Roman" w:hAnsi="Times New Roman" w:cs="Times New Roman"/>
          <w:sz w:val="24"/>
          <w:szCs w:val="24"/>
        </w:rPr>
        <w:t xml:space="preserve"> orientada a la ejecución de</w:t>
      </w:r>
      <w:r w:rsidR="008E7708" w:rsidRPr="00CA36E7">
        <w:rPr>
          <w:rFonts w:ascii="Times New Roman" w:hAnsi="Times New Roman" w:cs="Times New Roman"/>
          <w:sz w:val="24"/>
          <w:szCs w:val="24"/>
        </w:rPr>
        <w:t xml:space="preserve"> proyectos para el período </w:t>
      </w:r>
      <w:r w:rsidR="003A2755" w:rsidRPr="00CA36E7">
        <w:rPr>
          <w:rFonts w:ascii="Times New Roman" w:hAnsi="Times New Roman" w:cs="Times New Roman"/>
          <w:sz w:val="24"/>
          <w:szCs w:val="24"/>
        </w:rPr>
        <w:t>202</w:t>
      </w:r>
      <w:r w:rsidR="005A65EF" w:rsidRPr="00CA36E7">
        <w:rPr>
          <w:rFonts w:ascii="Times New Roman" w:hAnsi="Times New Roman" w:cs="Times New Roman"/>
          <w:sz w:val="24"/>
          <w:szCs w:val="24"/>
        </w:rPr>
        <w:t>5</w:t>
      </w:r>
      <w:r w:rsidR="003A2755" w:rsidRPr="00CA36E7">
        <w:rPr>
          <w:rFonts w:ascii="Times New Roman" w:hAnsi="Times New Roman" w:cs="Times New Roman"/>
          <w:sz w:val="24"/>
          <w:szCs w:val="24"/>
        </w:rPr>
        <w:t>-202</w:t>
      </w:r>
      <w:r w:rsidR="005A65EF" w:rsidRPr="00CA36E7">
        <w:rPr>
          <w:rFonts w:ascii="Times New Roman" w:hAnsi="Times New Roman" w:cs="Times New Roman"/>
          <w:sz w:val="24"/>
          <w:szCs w:val="24"/>
        </w:rPr>
        <w:t>7</w:t>
      </w:r>
      <w:r w:rsidR="003A2755" w:rsidRPr="00CA36E7">
        <w:rPr>
          <w:rFonts w:ascii="Times New Roman" w:hAnsi="Times New Roman" w:cs="Times New Roman"/>
          <w:sz w:val="24"/>
          <w:szCs w:val="24"/>
        </w:rPr>
        <w:t>, en correspondencia con la Proyección del Sistema de Programas y Proyectos, aprobada por el Estado y el Gobierno.</w:t>
      </w:r>
    </w:p>
    <w:p w14:paraId="03C90180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</w:p>
    <w:p w14:paraId="51B9F451" w14:textId="77777777" w:rsidR="00CA36E7" w:rsidRDefault="00A51CBC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OBJETIVO GENERAL</w:t>
      </w:r>
    </w:p>
    <w:p w14:paraId="28D4DFC4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34072" w14:textId="77777777" w:rsidR="00CA36E7" w:rsidRDefault="00A51CBC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6E7">
        <w:rPr>
          <w:rFonts w:ascii="Times New Roman" w:hAnsi="Times New Roman" w:cs="Times New Roman"/>
          <w:sz w:val="24"/>
          <w:szCs w:val="24"/>
          <w:lang w:val="es-MX"/>
        </w:rPr>
        <w:t>Contribuir al perfeccionamiento de la justicia judicial</w:t>
      </w:r>
      <w:r w:rsidR="00CA36E7">
        <w:rPr>
          <w:rFonts w:ascii="Times New Roman" w:hAnsi="Times New Roman" w:cs="Times New Roman"/>
          <w:sz w:val="24"/>
          <w:szCs w:val="24"/>
          <w:lang w:val="es-MX"/>
        </w:rPr>
        <w:t xml:space="preserve"> cubana incorporando propuestas </w:t>
      </w:r>
      <w:r w:rsidRPr="00CA36E7">
        <w:rPr>
          <w:rFonts w:ascii="Times New Roman" w:hAnsi="Times New Roman" w:cs="Times New Roman"/>
          <w:sz w:val="24"/>
          <w:szCs w:val="24"/>
        </w:rPr>
        <w:t>que</w:t>
      </w:r>
      <w:r w:rsidRPr="00CA36E7">
        <w:rPr>
          <w:rFonts w:ascii="Times New Roman" w:hAnsi="Times New Roman" w:cs="Times New Roman"/>
          <w:bCs/>
          <w:sz w:val="24"/>
          <w:szCs w:val="24"/>
        </w:rPr>
        <w:t xml:space="preserve"> posibiliten la mejora continua del trabajo de los tribunales y su impacto positivo en el desarrollo de la sociedad cubana del siglo XXI.</w:t>
      </w:r>
    </w:p>
    <w:p w14:paraId="2502B82B" w14:textId="4D009A7B" w:rsidR="003A2755" w:rsidRPr="00CA36E7" w:rsidRDefault="003A2755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BASES DE LA CONVOCATORIA</w:t>
      </w:r>
    </w:p>
    <w:p w14:paraId="7460070F" w14:textId="77777777" w:rsidR="007A5DB9" w:rsidRPr="00CA36E7" w:rsidRDefault="007A5DB9" w:rsidP="00CA36E7">
      <w:pPr>
        <w:widowControl w:val="0"/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F39F8" w14:textId="77777777" w:rsidR="00CA36E7" w:rsidRDefault="007A5DB9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rPr>
          <w:lang w:val="es-MX"/>
        </w:rPr>
        <w:t>Para el 202</w:t>
      </w:r>
      <w:r w:rsidR="005A65EF" w:rsidRPr="00CA36E7">
        <w:rPr>
          <w:lang w:val="es-MX"/>
        </w:rPr>
        <w:t>5</w:t>
      </w:r>
      <w:r w:rsidRPr="00CA36E7">
        <w:rPr>
          <w:lang w:val="es-MX"/>
        </w:rPr>
        <w:t xml:space="preserve">, la convocatoria se realiza de manera </w:t>
      </w:r>
      <w:r w:rsidR="00083114" w:rsidRPr="00CA36E7">
        <w:rPr>
          <w:lang w:val="es-MX"/>
        </w:rPr>
        <w:t>limitada hasta</w:t>
      </w:r>
      <w:r w:rsidR="00CA36E7">
        <w:rPr>
          <w:lang w:val="es-MX"/>
        </w:rPr>
        <w:t xml:space="preserve"> un máximo de siete </w:t>
      </w:r>
      <w:r w:rsidRPr="00CA36E7">
        <w:rPr>
          <w:lang w:val="es-MX"/>
        </w:rPr>
        <w:t xml:space="preserve">proyectos, donde el ejecutor principal sea el Tribunal Supremo Popular. </w:t>
      </w:r>
    </w:p>
    <w:p w14:paraId="37E96085" w14:textId="77777777" w:rsidR="00CA36E7" w:rsidRDefault="00CA36E7" w:rsidP="00CA36E7">
      <w:pPr>
        <w:pStyle w:val="Prrafodelista"/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475" w:right="74"/>
        <w:jc w:val="both"/>
        <w:rPr>
          <w:lang w:val="es-MX"/>
        </w:rPr>
      </w:pPr>
    </w:p>
    <w:p w14:paraId="5CEFFED6" w14:textId="77777777" w:rsidR="00CA36E7" w:rsidRDefault="003A2755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rPr>
          <w:lang w:val="es-MX"/>
        </w:rPr>
        <w:t>La convocatoria es pública, por lo que se dará a conocer en el s</w:t>
      </w:r>
      <w:r w:rsidR="00CA36E7" w:rsidRPr="00CA36E7">
        <w:rPr>
          <w:lang w:val="es-MX"/>
        </w:rPr>
        <w:t xml:space="preserve">itio Web y/o las redes sociales </w:t>
      </w:r>
      <w:r w:rsidRPr="00CA36E7">
        <w:rPr>
          <w:lang w:val="es-MX"/>
        </w:rPr>
        <w:t>vinculadas al Tribunal Supremo Popular.</w:t>
      </w:r>
    </w:p>
    <w:p w14:paraId="7E103D31" w14:textId="77777777" w:rsidR="00CA36E7" w:rsidRDefault="00CA36E7" w:rsidP="00CA36E7">
      <w:pPr>
        <w:pStyle w:val="Prrafodelista"/>
      </w:pPr>
    </w:p>
    <w:p w14:paraId="218851A8" w14:textId="77777777" w:rsidR="00CA36E7" w:rsidRPr="00CA36E7" w:rsidRDefault="003A2755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t>Las propuestas de proyectos se elaborarán a partir de los procedimientos</w:t>
      </w:r>
      <w:r w:rsidR="00CA36E7">
        <w:t xml:space="preserve"> </w:t>
      </w:r>
      <w:r w:rsidRPr="00CA36E7">
        <w:t>establecidos en las Indicaciones Metodológicas para la Gestión del Sistema de Programas y Proyectos del CITMA.</w:t>
      </w:r>
    </w:p>
    <w:p w14:paraId="05B15501" w14:textId="77777777" w:rsidR="00CA36E7" w:rsidRDefault="00CA36E7" w:rsidP="00CA36E7">
      <w:pPr>
        <w:pStyle w:val="Prrafodelista"/>
      </w:pPr>
    </w:p>
    <w:p w14:paraId="22DC0555" w14:textId="77777777" w:rsidR="00CA36E7" w:rsidRPr="00CA36E7" w:rsidRDefault="003A2755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t>Los proyectos aprobados cumplirán lo establecido en el proceso de planificación para el año 202</w:t>
      </w:r>
      <w:r w:rsidR="005A65EF" w:rsidRPr="00CA36E7">
        <w:t>5</w:t>
      </w:r>
      <w:r w:rsidRPr="00CA36E7">
        <w:t xml:space="preserve"> y calcularán su presupuesto sobre la base de la metodología establecida por el CITMA al respecto.</w:t>
      </w:r>
    </w:p>
    <w:p w14:paraId="6DC54FD0" w14:textId="77777777" w:rsidR="00CA36E7" w:rsidRDefault="00CA36E7" w:rsidP="00CA36E7">
      <w:pPr>
        <w:pStyle w:val="Prrafodelista"/>
      </w:pPr>
    </w:p>
    <w:p w14:paraId="5D3C18E2" w14:textId="77777777" w:rsidR="00CA36E7" w:rsidRPr="00CA36E7" w:rsidRDefault="003A2755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t xml:space="preserve">La duración de los proyectos no deberá exceder los </w:t>
      </w:r>
      <w:r w:rsidR="00CA36E7" w:rsidRPr="00CA36E7">
        <w:t>tres</w:t>
      </w:r>
      <w:r w:rsidRPr="00CA36E7">
        <w:t xml:space="preserve"> años.</w:t>
      </w:r>
    </w:p>
    <w:p w14:paraId="65938B4A" w14:textId="77777777" w:rsidR="00CA36E7" w:rsidRDefault="00CA36E7" w:rsidP="00CA36E7">
      <w:pPr>
        <w:pStyle w:val="Prrafodelista"/>
      </w:pPr>
    </w:p>
    <w:p w14:paraId="155A7BBA" w14:textId="77777777" w:rsidR="00CA36E7" w:rsidRPr="00CA36E7" w:rsidRDefault="003A2755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t>Las propuestas serán presentadas directamente a la Jefa del Programa, cuyos contactos se referencian en la ficha del programa que se anexa.</w:t>
      </w:r>
    </w:p>
    <w:p w14:paraId="4B49547A" w14:textId="77777777" w:rsidR="00CA36E7" w:rsidRDefault="00CA36E7" w:rsidP="00CA36E7">
      <w:pPr>
        <w:pStyle w:val="Prrafodelista"/>
      </w:pPr>
    </w:p>
    <w:p w14:paraId="2FBCEEE2" w14:textId="61D722AF" w:rsidR="003A2755" w:rsidRPr="00CA36E7" w:rsidRDefault="003A2755" w:rsidP="00CA36E7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74"/>
        <w:jc w:val="both"/>
        <w:rPr>
          <w:lang w:val="es-MX"/>
        </w:rPr>
      </w:pPr>
      <w:r w:rsidRPr="00CA36E7">
        <w:t>Las propuestas de proyectos deberán contar con el Dictamen del órgano consultivo de la entidad ejecutora y estar avalados por el organismo rector de la actividad.</w:t>
      </w:r>
    </w:p>
    <w:p w14:paraId="7E251044" w14:textId="77777777" w:rsidR="003A2755" w:rsidRPr="00CA36E7" w:rsidRDefault="003A2755" w:rsidP="00CA36E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EDFB6F" w14:textId="77777777" w:rsidR="003A2755" w:rsidRPr="00CA36E7" w:rsidRDefault="00927F90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PLAZO DE LA CONVOCATORIA</w:t>
      </w:r>
    </w:p>
    <w:p w14:paraId="3AD3BF8B" w14:textId="77777777" w:rsidR="00927F90" w:rsidRPr="00CA36E7" w:rsidRDefault="00927F90" w:rsidP="00CA36E7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818D3" w14:textId="5555F8CA" w:rsidR="00927F90" w:rsidRPr="00CA36E7" w:rsidRDefault="00927F90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Las propuestas de proyectos a 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presentar en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esta convocatoria, para el Plan 202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5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, se </w:t>
      </w:r>
      <w:proofErr w:type="spellStart"/>
      <w:r w:rsidRPr="00CA36E7">
        <w:rPr>
          <w:rFonts w:ascii="Times New Roman" w:hAnsi="Times New Roman" w:cs="Times New Roman"/>
          <w:sz w:val="24"/>
          <w:szCs w:val="24"/>
          <w:lang w:val="es-MX"/>
        </w:rPr>
        <w:t>recepcionarán</w:t>
      </w:r>
      <w:proofErr w:type="spellEnd"/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hasta el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30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mayo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del 202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. El proceso de evaluación, aprobación y compatibilización se realizará del 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1 al 20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junio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 xml:space="preserve"> del 202</w:t>
      </w:r>
      <w:r w:rsidR="005A65EF" w:rsidRPr="00CA36E7"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CA36E7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C8D54FA" w14:textId="77777777" w:rsidR="008E7708" w:rsidRPr="00CA36E7" w:rsidRDefault="008E7708" w:rsidP="00CA36E7">
      <w:pPr>
        <w:widowControl w:val="0"/>
        <w:autoSpaceDE w:val="0"/>
        <w:autoSpaceDN w:val="0"/>
        <w:adjustRightInd w:val="0"/>
        <w:spacing w:after="0" w:line="276" w:lineRule="auto"/>
        <w:ind w:left="100"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61107956" w14:textId="77777777" w:rsidR="00CA36E7" w:rsidRDefault="005E5361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REQUISITOS PARA LAS PROPUESTAS</w:t>
      </w:r>
    </w:p>
    <w:p w14:paraId="6CDDF43D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B2C1A" w14:textId="43747D15" w:rsidR="00CA36E7" w:rsidRPr="00CA36E7" w:rsidRDefault="005E5361" w:rsidP="00CA36E7">
      <w:pPr>
        <w:pStyle w:val="Prrafodelista"/>
        <w:widowControl w:val="0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line="276" w:lineRule="auto"/>
        <w:ind w:right="74"/>
        <w:jc w:val="both"/>
      </w:pPr>
      <w:r w:rsidRPr="00CA36E7">
        <w:t>Aval del Consejo Científico o Técnico Asesor de la entidad ejecutora principal del proyecto.</w:t>
      </w:r>
    </w:p>
    <w:p w14:paraId="66EF5B34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5C0DB" w14:textId="72C6F471" w:rsidR="00CA36E7" w:rsidRPr="00CA36E7" w:rsidRDefault="005E5361" w:rsidP="00CA36E7">
      <w:pPr>
        <w:pStyle w:val="Prrafodelista"/>
        <w:widowControl w:val="0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line="276" w:lineRule="auto"/>
        <w:ind w:right="74"/>
        <w:jc w:val="both"/>
      </w:pPr>
      <w:r w:rsidRPr="00CA36E7">
        <w:t>Aval del cliente(s), o usuario (s) identificado(s) según corresponda</w:t>
      </w:r>
      <w:r w:rsidR="00CA36E7" w:rsidRPr="00CA36E7">
        <w:t>.</w:t>
      </w:r>
    </w:p>
    <w:p w14:paraId="559C920E" w14:textId="77777777" w:rsid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7F94C" w14:textId="729BF86D" w:rsidR="00927F90" w:rsidRPr="00CA36E7" w:rsidRDefault="005E5361" w:rsidP="00CA36E7">
      <w:pPr>
        <w:pStyle w:val="Prrafodelista"/>
        <w:widowControl w:val="0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line="276" w:lineRule="auto"/>
        <w:ind w:right="74"/>
        <w:jc w:val="both"/>
      </w:pPr>
      <w:r w:rsidRPr="00CA36E7">
        <w:t>Ficha del proyecto.</w:t>
      </w:r>
    </w:p>
    <w:p w14:paraId="64966987" w14:textId="77777777" w:rsidR="00CA36E7" w:rsidRPr="00CA36E7" w:rsidRDefault="00CA36E7" w:rsidP="00CA36E7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38724" w14:textId="77777777" w:rsidR="00927F90" w:rsidRPr="00CA36E7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CONTACTOS</w:t>
      </w:r>
    </w:p>
    <w:p w14:paraId="23B44234" w14:textId="77777777" w:rsidR="00927F90" w:rsidRPr="00CA36E7" w:rsidRDefault="00927F90" w:rsidP="00CA36E7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9654" w14:textId="77777777" w:rsidR="009605AE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605AE">
        <w:rPr>
          <w:rFonts w:ascii="Times New Roman" w:hAnsi="Times New Roman" w:cs="Times New Roman"/>
          <w:sz w:val="24"/>
          <w:szCs w:val="24"/>
          <w:lang w:val="es-MX"/>
        </w:rPr>
        <w:t>Jefa de la Unidad de Desarrollo e Innovación del Tribunal Supremo Popular y del Programa Sectorial</w:t>
      </w:r>
    </w:p>
    <w:p w14:paraId="2A28E36F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1AD6811" w14:textId="77777777" w:rsidR="009605AE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Dra. C. Rufina de la Caridad Hernández Rodríguez</w:t>
      </w:r>
    </w:p>
    <w:p w14:paraId="0A744A96" w14:textId="77777777" w:rsidR="009605AE" w:rsidRDefault="00AC1B9F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hyperlink r:id="rId5" w:history="1">
        <w:r w:rsidR="00927F90" w:rsidRPr="00CA36E7">
          <w:rPr>
            <w:rStyle w:val="Hipervnculo"/>
            <w:rFonts w:ascii="Times New Roman" w:hAnsi="Times New Roman" w:cs="Times New Roman"/>
            <w:sz w:val="24"/>
            <w:szCs w:val="24"/>
          </w:rPr>
          <w:t>rufina@tsp.gob.cu</w:t>
        </w:r>
      </w:hyperlink>
    </w:p>
    <w:p w14:paraId="6B588B93" w14:textId="77777777" w:rsidR="009605AE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sz w:val="24"/>
          <w:szCs w:val="24"/>
        </w:rPr>
        <w:t>Telf.78698734</w:t>
      </w:r>
    </w:p>
    <w:p w14:paraId="57672DA6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sz w:val="24"/>
          <w:szCs w:val="24"/>
        </w:rPr>
        <w:t>Acuerdo No</w:t>
      </w:r>
      <w:r w:rsidR="009605AE">
        <w:rPr>
          <w:rFonts w:ascii="Times New Roman" w:hAnsi="Times New Roman" w:cs="Times New Roman"/>
          <w:sz w:val="24"/>
          <w:szCs w:val="24"/>
        </w:rPr>
        <w:t xml:space="preserve">. 310, de 20 de abril de 2023, del </w:t>
      </w:r>
      <w:r w:rsidRPr="00CA36E7">
        <w:rPr>
          <w:rFonts w:ascii="Times New Roman" w:hAnsi="Times New Roman" w:cs="Times New Roman"/>
          <w:sz w:val="24"/>
          <w:szCs w:val="24"/>
        </w:rPr>
        <w:t>Consejo de Gobierno del TSP</w:t>
      </w:r>
    </w:p>
    <w:p w14:paraId="7039A8A3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E5BBBC0" w14:textId="77777777" w:rsidR="009605AE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sz w:val="24"/>
          <w:szCs w:val="24"/>
        </w:rPr>
        <w:t>Secretaria del Programa Sectorial</w:t>
      </w:r>
    </w:p>
    <w:p w14:paraId="6983F8F3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EE3A9AE" w14:textId="77777777" w:rsidR="009605AE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 xml:space="preserve">Esp. </w:t>
      </w:r>
      <w:proofErr w:type="spellStart"/>
      <w:r w:rsidRPr="00CA36E7">
        <w:rPr>
          <w:rFonts w:ascii="Times New Roman" w:hAnsi="Times New Roman" w:cs="Times New Roman"/>
          <w:b/>
          <w:sz w:val="24"/>
          <w:szCs w:val="24"/>
        </w:rPr>
        <w:t>Maryla</w:t>
      </w:r>
      <w:proofErr w:type="spellEnd"/>
      <w:r w:rsidRPr="00CA36E7">
        <w:rPr>
          <w:rFonts w:ascii="Times New Roman" w:hAnsi="Times New Roman" w:cs="Times New Roman"/>
          <w:b/>
          <w:sz w:val="24"/>
          <w:szCs w:val="24"/>
        </w:rPr>
        <w:t xml:space="preserve"> Pérez Bernal</w:t>
      </w:r>
    </w:p>
    <w:p w14:paraId="48062C07" w14:textId="77777777" w:rsidR="009605AE" w:rsidRDefault="00AC1B9F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hyperlink r:id="rId6" w:history="1">
        <w:r w:rsidR="00927F90" w:rsidRPr="00CA36E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maryla@tsp.gob.cu</w:t>
        </w:r>
      </w:hyperlink>
      <w:r w:rsidR="00927F90" w:rsidRPr="00CA3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00D72B" w14:textId="77777777" w:rsidR="009605AE" w:rsidRDefault="00927F90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sz w:val="24"/>
          <w:szCs w:val="24"/>
          <w:lang w:val="en-US"/>
        </w:rPr>
        <w:t>Telf.</w:t>
      </w:r>
      <w:r w:rsidR="00A82F30" w:rsidRPr="00CA36E7">
        <w:rPr>
          <w:rFonts w:ascii="Times New Roman" w:hAnsi="Times New Roman" w:cs="Times New Roman"/>
          <w:sz w:val="24"/>
          <w:szCs w:val="24"/>
          <w:lang w:val="en-US"/>
        </w:rPr>
        <w:t>7869846</w:t>
      </w:r>
    </w:p>
    <w:p w14:paraId="31D28A5B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sz w:val="24"/>
          <w:szCs w:val="24"/>
        </w:rPr>
        <w:t>Acuerdo No</w:t>
      </w:r>
      <w:r w:rsidR="009605AE">
        <w:rPr>
          <w:rFonts w:ascii="Times New Roman" w:hAnsi="Times New Roman" w:cs="Times New Roman"/>
          <w:sz w:val="24"/>
          <w:szCs w:val="24"/>
        </w:rPr>
        <w:t>. 311, de 20 de abril de 2023, d</w:t>
      </w:r>
      <w:r w:rsidRPr="00CA36E7">
        <w:rPr>
          <w:rFonts w:ascii="Times New Roman" w:hAnsi="Times New Roman" w:cs="Times New Roman"/>
          <w:sz w:val="24"/>
          <w:szCs w:val="24"/>
        </w:rPr>
        <w:t>el Consejo de Gobierno del TSP</w:t>
      </w:r>
    </w:p>
    <w:p w14:paraId="63B4CE43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B0AF660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ENVÍOS</w:t>
      </w:r>
    </w:p>
    <w:p w14:paraId="7BDDB3C5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ABAAF5F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 xml:space="preserve">Formato impreso: </w:t>
      </w:r>
      <w:r w:rsidR="008E7708" w:rsidRPr="00CA36E7">
        <w:rPr>
          <w:rFonts w:ascii="Times New Roman" w:hAnsi="Times New Roman" w:cs="Times New Roman"/>
          <w:sz w:val="24"/>
          <w:szCs w:val="24"/>
        </w:rPr>
        <w:t>Tribunal Supremo Popular, Unidad de Desarrollo e Innovación, ca</w:t>
      </w:r>
      <w:r w:rsidR="009605AE">
        <w:rPr>
          <w:rFonts w:ascii="Times New Roman" w:hAnsi="Times New Roman" w:cs="Times New Roman"/>
          <w:sz w:val="24"/>
          <w:szCs w:val="24"/>
        </w:rPr>
        <w:t xml:space="preserve">lle Aguiar entre Obispo y </w:t>
      </w:r>
      <w:proofErr w:type="spellStart"/>
      <w:r w:rsidR="009605AE">
        <w:rPr>
          <w:rFonts w:ascii="Times New Roman" w:hAnsi="Times New Roman" w:cs="Times New Roman"/>
          <w:sz w:val="24"/>
          <w:szCs w:val="24"/>
        </w:rPr>
        <w:t>Obrapí</w:t>
      </w:r>
      <w:r w:rsidR="008E7708" w:rsidRPr="00CA36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E7708" w:rsidRPr="00CA36E7">
        <w:rPr>
          <w:rFonts w:ascii="Times New Roman" w:hAnsi="Times New Roman" w:cs="Times New Roman"/>
          <w:sz w:val="24"/>
          <w:szCs w:val="24"/>
        </w:rPr>
        <w:t>, Municipio Habana Vieja, La Habana.</w:t>
      </w:r>
      <w:r w:rsidRPr="00CA3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47857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C4F9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Formato digital</w:t>
      </w:r>
      <w:r w:rsidRPr="00CA36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2C11FC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>Dra. C. Rufina de la Caridad Hernández Rodríguez</w:t>
      </w:r>
    </w:p>
    <w:p w14:paraId="0C0B3187" w14:textId="77777777" w:rsidR="009605AE" w:rsidRDefault="00AC1B9F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MX"/>
        </w:rPr>
      </w:pPr>
      <w:hyperlink r:id="rId7" w:history="1">
        <w:r w:rsidR="00C06093" w:rsidRPr="00CA36E7">
          <w:rPr>
            <w:rStyle w:val="Hipervnculo"/>
            <w:rFonts w:ascii="Times New Roman" w:hAnsi="Times New Roman" w:cs="Times New Roman"/>
            <w:sz w:val="24"/>
            <w:szCs w:val="24"/>
          </w:rPr>
          <w:t>rufina@tsp.gob.cu</w:t>
        </w:r>
      </w:hyperlink>
    </w:p>
    <w:p w14:paraId="20B7EB1C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MX"/>
        </w:rPr>
      </w:pPr>
    </w:p>
    <w:p w14:paraId="434C1254" w14:textId="77777777" w:rsid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sz w:val="24"/>
          <w:szCs w:val="24"/>
        </w:rPr>
        <w:t xml:space="preserve">Esp. </w:t>
      </w:r>
      <w:proofErr w:type="spellStart"/>
      <w:r w:rsidRPr="00CA36E7">
        <w:rPr>
          <w:rFonts w:ascii="Times New Roman" w:hAnsi="Times New Roman" w:cs="Times New Roman"/>
          <w:b/>
          <w:sz w:val="24"/>
          <w:szCs w:val="24"/>
        </w:rPr>
        <w:t>Maryla</w:t>
      </w:r>
      <w:proofErr w:type="spellEnd"/>
      <w:r w:rsidRPr="00CA36E7">
        <w:rPr>
          <w:rFonts w:ascii="Times New Roman" w:hAnsi="Times New Roman" w:cs="Times New Roman"/>
          <w:b/>
          <w:sz w:val="24"/>
          <w:szCs w:val="24"/>
        </w:rPr>
        <w:t xml:space="preserve"> Pérez Bernal</w:t>
      </w:r>
    </w:p>
    <w:p w14:paraId="7ABAE191" w14:textId="77777777" w:rsidR="009605AE" w:rsidRDefault="00AC1B9F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MX"/>
        </w:rPr>
      </w:pPr>
      <w:hyperlink r:id="rId8" w:history="1">
        <w:r w:rsidR="00C06093" w:rsidRPr="00CA36E7">
          <w:rPr>
            <w:rStyle w:val="Hipervnculo"/>
            <w:rFonts w:ascii="Times New Roman" w:hAnsi="Times New Roman" w:cs="Times New Roman"/>
            <w:sz w:val="24"/>
            <w:szCs w:val="24"/>
          </w:rPr>
          <w:t>maryla@tsp.gob.cu</w:t>
        </w:r>
      </w:hyperlink>
    </w:p>
    <w:p w14:paraId="54144F7B" w14:textId="77777777" w:rsidR="009605AE" w:rsidRDefault="009605AE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MX"/>
        </w:rPr>
      </w:pPr>
    </w:p>
    <w:p w14:paraId="12327C1F" w14:textId="6E6C8417" w:rsidR="00C06093" w:rsidRPr="009605AE" w:rsidRDefault="00C06093" w:rsidP="009605AE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76" w:lineRule="auto"/>
        <w:ind w:left="100" w:right="7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35D070BA" w14:textId="77777777" w:rsidR="00C06093" w:rsidRPr="00CA36E7" w:rsidRDefault="00C06093" w:rsidP="00CA36E7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163A5" w14:textId="48901E03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Lanzamiento de la Convocatoria:</w:t>
      </w:r>
      <w:r w:rsidRPr="00CA36E7">
        <w:rPr>
          <w:rFonts w:ascii="Times New Roman" w:hAnsi="Times New Roman" w:cs="Times New Roman"/>
          <w:sz w:val="24"/>
          <w:szCs w:val="24"/>
        </w:rPr>
        <w:t xml:space="preserve">  </w:t>
      </w:r>
      <w:r w:rsidR="00083114" w:rsidRPr="00CA36E7">
        <w:rPr>
          <w:rFonts w:ascii="Times New Roman" w:hAnsi="Times New Roman" w:cs="Times New Roman"/>
          <w:sz w:val="24"/>
          <w:szCs w:val="24"/>
        </w:rPr>
        <w:t>29</w:t>
      </w:r>
      <w:r w:rsidRPr="00CA36E7">
        <w:rPr>
          <w:rFonts w:ascii="Times New Roman" w:hAnsi="Times New Roman" w:cs="Times New Roman"/>
          <w:sz w:val="24"/>
          <w:szCs w:val="24"/>
        </w:rPr>
        <w:t xml:space="preserve"> de</w:t>
      </w:r>
      <w:r w:rsidR="00083114" w:rsidRPr="00CA36E7">
        <w:rPr>
          <w:rFonts w:ascii="Times New Roman" w:hAnsi="Times New Roman" w:cs="Times New Roman"/>
          <w:sz w:val="24"/>
          <w:szCs w:val="24"/>
        </w:rPr>
        <w:t xml:space="preserve"> abril de</w:t>
      </w:r>
      <w:r w:rsidRPr="00CA36E7">
        <w:rPr>
          <w:rFonts w:ascii="Times New Roman" w:hAnsi="Times New Roman" w:cs="Times New Roman"/>
          <w:sz w:val="24"/>
          <w:szCs w:val="24"/>
        </w:rPr>
        <w:t xml:space="preserve"> 202</w:t>
      </w:r>
      <w:r w:rsidR="005A65EF" w:rsidRPr="00CA36E7">
        <w:rPr>
          <w:rFonts w:ascii="Times New Roman" w:hAnsi="Times New Roman" w:cs="Times New Roman"/>
          <w:sz w:val="24"/>
          <w:szCs w:val="24"/>
        </w:rPr>
        <w:t>4</w:t>
      </w:r>
      <w:r w:rsidRPr="00CA36E7">
        <w:rPr>
          <w:rFonts w:ascii="Times New Roman" w:hAnsi="Times New Roman" w:cs="Times New Roman"/>
          <w:sz w:val="24"/>
          <w:szCs w:val="24"/>
        </w:rPr>
        <w:t>.</w:t>
      </w:r>
    </w:p>
    <w:p w14:paraId="36D85CC6" w14:textId="1DD1A733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Presentación de Proyectos:</w:t>
      </w:r>
      <w:r w:rsidRPr="00CA36E7">
        <w:rPr>
          <w:rFonts w:ascii="Times New Roman" w:hAnsi="Times New Roman" w:cs="Times New Roman"/>
          <w:sz w:val="24"/>
          <w:szCs w:val="24"/>
        </w:rPr>
        <w:t xml:space="preserve"> </w:t>
      </w:r>
      <w:r w:rsidR="00083114" w:rsidRPr="00CA36E7">
        <w:rPr>
          <w:rFonts w:ascii="Times New Roman" w:hAnsi="Times New Roman" w:cs="Times New Roman"/>
          <w:sz w:val="24"/>
          <w:szCs w:val="24"/>
        </w:rPr>
        <w:t>30 de abril al 30 de mayo de 2024</w:t>
      </w:r>
      <w:r w:rsidRPr="00CA36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BFBBC" w14:textId="44EA902C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Evaluación, aprobación de los Proyectos por el grupo de expertos:</w:t>
      </w:r>
      <w:r w:rsidRPr="00CA36E7">
        <w:rPr>
          <w:rFonts w:ascii="Times New Roman" w:hAnsi="Times New Roman" w:cs="Times New Roman"/>
          <w:sz w:val="24"/>
          <w:szCs w:val="24"/>
        </w:rPr>
        <w:t xml:space="preserve"> de </w:t>
      </w:r>
      <w:r w:rsidR="00083114" w:rsidRPr="00CA36E7">
        <w:rPr>
          <w:rFonts w:ascii="Times New Roman" w:hAnsi="Times New Roman" w:cs="Times New Roman"/>
          <w:sz w:val="24"/>
          <w:szCs w:val="24"/>
        </w:rPr>
        <w:t>1 de junio al 20 de junio de 2024.</w:t>
      </w:r>
    </w:p>
    <w:p w14:paraId="3AA5330A" w14:textId="33A3DF08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Inclusión de los proyectos en el Plan CTI del Programa e inclusión de fondos para la gestión:</w:t>
      </w:r>
      <w:r w:rsidRPr="00CA36E7">
        <w:rPr>
          <w:rFonts w:ascii="Times New Roman" w:hAnsi="Times New Roman" w:cs="Times New Roman"/>
          <w:sz w:val="24"/>
          <w:szCs w:val="24"/>
        </w:rPr>
        <w:t xml:space="preserve">  202</w:t>
      </w:r>
      <w:r w:rsidR="005A65EF" w:rsidRPr="00CA36E7">
        <w:rPr>
          <w:rFonts w:ascii="Times New Roman" w:hAnsi="Times New Roman" w:cs="Times New Roman"/>
          <w:sz w:val="24"/>
          <w:szCs w:val="24"/>
        </w:rPr>
        <w:t>4</w:t>
      </w:r>
    </w:p>
    <w:p w14:paraId="6EA3D501" w14:textId="1E711A16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Selección de los proyectos y elaboración del dictamen para conformar la carpeta de proyectos actualizada:</w:t>
      </w:r>
      <w:r w:rsidRPr="00CA36E7">
        <w:rPr>
          <w:rFonts w:ascii="Times New Roman" w:hAnsi="Times New Roman" w:cs="Times New Roman"/>
          <w:sz w:val="24"/>
          <w:szCs w:val="24"/>
        </w:rPr>
        <w:t xml:space="preserve">  </w:t>
      </w:r>
      <w:r w:rsidR="00083114" w:rsidRPr="00CA36E7">
        <w:rPr>
          <w:rFonts w:ascii="Times New Roman" w:hAnsi="Times New Roman" w:cs="Times New Roman"/>
          <w:sz w:val="24"/>
          <w:szCs w:val="24"/>
        </w:rPr>
        <w:t xml:space="preserve">Junio-Julio </w:t>
      </w:r>
      <w:r w:rsidRPr="00CA36E7">
        <w:rPr>
          <w:rFonts w:ascii="Times New Roman" w:hAnsi="Times New Roman" w:cs="Times New Roman"/>
          <w:sz w:val="24"/>
          <w:szCs w:val="24"/>
        </w:rPr>
        <w:t>de 202</w:t>
      </w:r>
      <w:r w:rsidR="005A65EF" w:rsidRPr="00CA36E7">
        <w:rPr>
          <w:rFonts w:ascii="Times New Roman" w:hAnsi="Times New Roman" w:cs="Times New Roman"/>
          <w:sz w:val="24"/>
          <w:szCs w:val="24"/>
        </w:rPr>
        <w:t>4</w:t>
      </w:r>
      <w:r w:rsidRPr="00CA36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F876B" w14:textId="3B5B4C7B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Proceso de contratación:</w:t>
      </w:r>
      <w:r w:rsidRPr="00CA36E7">
        <w:rPr>
          <w:rFonts w:ascii="Times New Roman" w:hAnsi="Times New Roman" w:cs="Times New Roman"/>
          <w:sz w:val="24"/>
          <w:szCs w:val="24"/>
        </w:rPr>
        <w:t xml:space="preserve">  </w:t>
      </w:r>
      <w:r w:rsidR="00083114" w:rsidRPr="00CA36E7">
        <w:rPr>
          <w:rFonts w:ascii="Times New Roman" w:hAnsi="Times New Roman" w:cs="Times New Roman"/>
          <w:sz w:val="24"/>
          <w:szCs w:val="24"/>
        </w:rPr>
        <w:t xml:space="preserve">septiembre- octubre de </w:t>
      </w:r>
      <w:r w:rsidRPr="00CA36E7">
        <w:rPr>
          <w:rFonts w:ascii="Times New Roman" w:hAnsi="Times New Roman" w:cs="Times New Roman"/>
          <w:sz w:val="24"/>
          <w:szCs w:val="24"/>
        </w:rPr>
        <w:t>202</w:t>
      </w:r>
      <w:r w:rsidR="005A65EF" w:rsidRPr="00CA36E7">
        <w:rPr>
          <w:rFonts w:ascii="Times New Roman" w:hAnsi="Times New Roman" w:cs="Times New Roman"/>
          <w:sz w:val="24"/>
          <w:szCs w:val="24"/>
        </w:rPr>
        <w:t>4</w:t>
      </w:r>
      <w:r w:rsidRPr="00CA3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AD7AF" w14:textId="7650FE2D" w:rsidR="00037CC6" w:rsidRPr="00CA36E7" w:rsidRDefault="00C06093" w:rsidP="00CA36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7">
        <w:rPr>
          <w:rFonts w:ascii="Times New Roman" w:hAnsi="Times New Roman" w:cs="Times New Roman"/>
          <w:b/>
          <w:bCs/>
          <w:sz w:val="24"/>
          <w:szCs w:val="24"/>
        </w:rPr>
        <w:t>Inicio de la ejecución de los proyectos aprobados:</w:t>
      </w:r>
      <w:r w:rsidRPr="00CA36E7">
        <w:rPr>
          <w:rFonts w:ascii="Times New Roman" w:hAnsi="Times New Roman" w:cs="Times New Roman"/>
          <w:sz w:val="24"/>
          <w:szCs w:val="24"/>
        </w:rPr>
        <w:t xml:space="preserve"> enero de 202</w:t>
      </w:r>
      <w:r w:rsidR="005A65EF" w:rsidRPr="00CA36E7">
        <w:rPr>
          <w:rFonts w:ascii="Times New Roman" w:hAnsi="Times New Roman" w:cs="Times New Roman"/>
          <w:sz w:val="24"/>
          <w:szCs w:val="24"/>
        </w:rPr>
        <w:t>5</w:t>
      </w:r>
    </w:p>
    <w:p w14:paraId="3DE116D0" w14:textId="77777777" w:rsidR="00C06093" w:rsidRPr="00CA36E7" w:rsidRDefault="00C06093" w:rsidP="00CA36E7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06093" w:rsidRPr="00CA36E7" w:rsidSect="004009F2">
      <w:pgSz w:w="12240" w:h="15840" w:code="1"/>
      <w:pgMar w:top="141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80F"/>
    <w:multiLevelType w:val="hybridMultilevel"/>
    <w:tmpl w:val="CD6E84A8"/>
    <w:lvl w:ilvl="0" w:tplc="0C0A0017">
      <w:start w:val="5"/>
      <w:numFmt w:val="lowerLetter"/>
      <w:lvlText w:val="%1)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1F90"/>
    <w:multiLevelType w:val="hybridMultilevel"/>
    <w:tmpl w:val="22E61DD4"/>
    <w:lvl w:ilvl="0" w:tplc="8200E198">
      <w:start w:val="6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4F08"/>
    <w:multiLevelType w:val="hybridMultilevel"/>
    <w:tmpl w:val="D886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51F65"/>
    <w:multiLevelType w:val="hybridMultilevel"/>
    <w:tmpl w:val="81E48296"/>
    <w:lvl w:ilvl="0" w:tplc="D3C6FFEC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92C5765"/>
    <w:multiLevelType w:val="hybridMultilevel"/>
    <w:tmpl w:val="F11EB64A"/>
    <w:lvl w:ilvl="0" w:tplc="30709F52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0D24"/>
    <w:multiLevelType w:val="hybridMultilevel"/>
    <w:tmpl w:val="8C18E358"/>
    <w:lvl w:ilvl="0" w:tplc="27DA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4B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8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A5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2D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8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4C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48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E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B80353"/>
    <w:multiLevelType w:val="hybridMultilevel"/>
    <w:tmpl w:val="90F802DC"/>
    <w:lvl w:ilvl="0" w:tplc="217E63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2DC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EBB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65D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E07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45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CE5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A3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AB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C3B8B"/>
    <w:multiLevelType w:val="hybridMultilevel"/>
    <w:tmpl w:val="A680FA60"/>
    <w:lvl w:ilvl="0" w:tplc="00A29BD0">
      <w:start w:val="1"/>
      <w:numFmt w:val="decimal"/>
      <w:lvlText w:val="%1."/>
      <w:lvlJc w:val="left"/>
      <w:pPr>
        <w:ind w:left="36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07"/>
    <w:rsid w:val="00037CC6"/>
    <w:rsid w:val="00083114"/>
    <w:rsid w:val="001A4654"/>
    <w:rsid w:val="00267E10"/>
    <w:rsid w:val="003A2755"/>
    <w:rsid w:val="004009F2"/>
    <w:rsid w:val="0040236D"/>
    <w:rsid w:val="004703AC"/>
    <w:rsid w:val="005A65EF"/>
    <w:rsid w:val="005E5361"/>
    <w:rsid w:val="00622E07"/>
    <w:rsid w:val="006455EF"/>
    <w:rsid w:val="0076107F"/>
    <w:rsid w:val="007A5DB9"/>
    <w:rsid w:val="008D59D7"/>
    <w:rsid w:val="008E7708"/>
    <w:rsid w:val="00927F90"/>
    <w:rsid w:val="009605AE"/>
    <w:rsid w:val="00984628"/>
    <w:rsid w:val="00A51CBC"/>
    <w:rsid w:val="00A82F30"/>
    <w:rsid w:val="00AC1B9F"/>
    <w:rsid w:val="00BC5609"/>
    <w:rsid w:val="00C06093"/>
    <w:rsid w:val="00CA36E7"/>
    <w:rsid w:val="00DD6CCC"/>
    <w:rsid w:val="00F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97C0"/>
  <w15:chartTrackingRefBased/>
  <w15:docId w15:val="{80B82F5F-1255-4074-9D28-594967FE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1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F90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5E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A51C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5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a@tsp.gob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fina@tsp.gob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la@tsp.gob.cu" TargetMode="External"/><Relationship Id="rId5" Type="http://schemas.openxmlformats.org/officeDocument/2006/relationships/hyperlink" Target="mailto:rufina@tsp.gob.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TSP-Rufina Hernández Rodríguez</dc:creator>
  <cp:keywords/>
  <dc:description/>
  <cp:lastModifiedBy>Secretaria Gobierno</cp:lastModifiedBy>
  <cp:revision>5</cp:revision>
  <cp:lastPrinted>2024-04-25T18:49:00Z</cp:lastPrinted>
  <dcterms:created xsi:type="dcterms:W3CDTF">2024-04-19T16:25:00Z</dcterms:created>
  <dcterms:modified xsi:type="dcterms:W3CDTF">2024-05-03T18:18:00Z</dcterms:modified>
</cp:coreProperties>
</file>